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EF" w:rsidRDefault="003D79EF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4169C3" w:rsidRPr="004169C3" w:rsidRDefault="004169C3">
      <w:pPr>
        <w:rPr>
          <w:rFonts w:ascii="Arial" w:hAnsi="Arial" w:cs="Arial"/>
          <w:color w:val="333333"/>
          <w:sz w:val="56"/>
          <w:szCs w:val="56"/>
          <w:shd w:val="clear" w:color="auto" w:fill="FFFFFF"/>
        </w:rPr>
      </w:pPr>
      <w:r w:rsidRPr="004169C3">
        <w:rPr>
          <w:rFonts w:ascii="Arial" w:hAnsi="Arial" w:cs="Arial"/>
          <w:color w:val="333333"/>
          <w:sz w:val="56"/>
          <w:szCs w:val="56"/>
          <w:shd w:val="clear" w:color="auto" w:fill="FFFFFF"/>
        </w:rPr>
        <w:t xml:space="preserve">10 Financial Planning Tips for Clients to Start 2019 </w:t>
      </w:r>
      <w:proofErr w:type="gramStart"/>
      <w:r w:rsidRPr="004169C3">
        <w:rPr>
          <w:rFonts w:ascii="Arial" w:hAnsi="Arial" w:cs="Arial"/>
          <w:color w:val="333333"/>
          <w:sz w:val="56"/>
          <w:szCs w:val="56"/>
          <w:shd w:val="clear" w:color="auto" w:fill="FFFFFF"/>
        </w:rPr>
        <w:t>Off</w:t>
      </w:r>
      <w:proofErr w:type="gramEnd"/>
      <w:r w:rsidRPr="004169C3">
        <w:rPr>
          <w:rFonts w:ascii="Arial" w:hAnsi="Arial" w:cs="Arial"/>
          <w:color w:val="333333"/>
          <w:sz w:val="56"/>
          <w:szCs w:val="56"/>
          <w:shd w:val="clear" w:color="auto" w:fill="FFFFFF"/>
        </w:rPr>
        <w:t xml:space="preserve"> Right</w:t>
      </w:r>
    </w:p>
    <w:p w:rsidR="004169C3" w:rsidRPr="004169C3" w:rsidRDefault="004169C3">
      <w:pPr>
        <w:rPr>
          <w:rFonts w:ascii="Arial" w:hAnsi="Arial" w:cs="Arial"/>
          <w:color w:val="808080" w:themeColor="background1" w:themeShade="80"/>
          <w:sz w:val="27"/>
          <w:szCs w:val="27"/>
          <w:shd w:val="clear" w:color="auto" w:fill="FFFFFF"/>
        </w:rPr>
      </w:pPr>
      <w:r w:rsidRPr="004169C3">
        <w:rPr>
          <w:rFonts w:ascii="Arial" w:hAnsi="Arial" w:cs="Arial"/>
          <w:color w:val="808080" w:themeColor="background1" w:themeShade="80"/>
          <w:sz w:val="27"/>
          <w:szCs w:val="27"/>
          <w:shd w:val="clear" w:color="auto" w:fill="FFFFFF"/>
        </w:rPr>
        <w:t>(AICPA)</w:t>
      </w:r>
    </w:p>
    <w:p w:rsidR="006E08DC" w:rsidRDefault="003D79EF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The first few weeks of the new year can be a good time for investors to make sure their financial house is in order and set themselves up to achieve their monetary goals.</w:t>
      </w:r>
    </w:p>
    <w:p w:rsidR="003D79EF" w:rsidRDefault="003D79EF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3162300" cy="20332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18186607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  <w:rFonts w:ascii="Arial" w:hAnsi="Arial" w:cs="Arial"/>
          <w:color w:val="333333"/>
          <w:sz w:val="27"/>
          <w:szCs w:val="27"/>
        </w:rPr>
        <w:t>1. Start the </w:t>
      </w:r>
      <w:r>
        <w:rPr>
          <w:rStyle w:val="Strong"/>
          <w:rFonts w:ascii="Arial" w:hAnsi="Arial" w:cs="Arial"/>
          <w:color w:val="333333"/>
          <w:sz w:val="27"/>
          <w:szCs w:val="27"/>
        </w:rPr>
        <w:t>New Year</w:t>
      </w:r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with a new plan.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 xml:space="preserve">One of Lisa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Featherngill’s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favorite tips is to begin the year with a fresh plan.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“First you have to update your balance sheet, so you know your starting point. Then set goals — reduce debt or increase investments or something else — and attach a dollar amount,”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Featherngill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a member of the AICPA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PFP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Executive Committee, suggested.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Then, a plan can be created to achieve those goals.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“It’s that simple, but you have to know where you are now in order to determine where you want to be,”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Featherngill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said.</w:t>
      </w:r>
    </w:p>
    <w:p w:rsidR="0096589D" w:rsidRDefault="0096589D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</w:p>
    <w:p w:rsidR="0096589D" w:rsidRDefault="0096589D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</w:p>
    <w:p w:rsidR="0096589D" w:rsidRDefault="0096589D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lastRenderedPageBreak/>
        <w:t>2. Review 2018 spending in conjunction with 2019 budgeting.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Early January provides an ideal window for reviewing prior-year expenses and developing a reasonable budget for the current year, according to Michael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Landsberg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a member of the AICPA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PFP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Executive Committee.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Landsberg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suggested to strip out one-time nonrecurring expenses — such as emergency room visit or housing repairs — and then plot a course for 2019 spending that includes a buffer for future unforeseen expenses.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3. Review automatic payment subscriptions and renewals.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The start of the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new year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is a good time to review all the various automatic payments and subscriptions set up in the past, Brooke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Salvini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a member of the AICPA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PFP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Executive Committee, said.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“Some expenses, such as entertainment streaming services, a gym membership or an old magazine subscription may no longer fit into your budget, lifestyle, or new year priorities,”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Salvini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said in a statement. “It’s easy for money to slip away by losing track of all the small payments scheduled through automatic payment methods.”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Salvini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suggested making a review of these payments a part of one’s general New Year cleanup.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4. Update your Form W-4 for withholding.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As Julie Welch pointed out, “2018 saw major changes to individual taxes. The IRS substantially revised the withholding tables in early 2018.”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Now that 2019 has begun, Welch, a member of the AICPA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PFP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Executive Committee, suggested that individuals check their withholding to see if they need more or less withheld in 2019.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lastRenderedPageBreak/>
        <w:t>5.</w:t>
      </w:r>
      <w:r>
        <w:rPr>
          <w:rStyle w:val="Emphasis"/>
          <w:rFonts w:ascii="Arial" w:hAnsi="Arial" w:cs="Arial"/>
          <w:b/>
          <w:bCs/>
          <w:color w:val="333333"/>
          <w:sz w:val="27"/>
          <w:szCs w:val="27"/>
        </w:rPr>
        <w:t> </w:t>
      </w:r>
      <w:r>
        <w:rPr>
          <w:rStyle w:val="Strong"/>
          <w:rFonts w:ascii="Arial" w:hAnsi="Arial" w:cs="Arial"/>
          <w:color w:val="333333"/>
          <w:sz w:val="27"/>
          <w:szCs w:val="27"/>
        </w:rPr>
        <w:t>Make an early calculation of 2018 taxes.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The new tax bill has likely made significant changes to individuals’ tax opportunities, according to David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Stolz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a member of the AICPA PFS Credential Committee.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“Don’t wait until April to understand what those opportunities are for you,”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Stolz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said. “You may need to adjust your withholding, change your charitable giving strategy,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take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advantage of new tax brackets or depreciation rules among many other strategies.”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6. Revisit workplace retirement plan contributions.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The beginning of the year is a good time for individuals to review their workplace retirement plan contributions.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Robert Westley, AICPA PFS Credential Committee member, suggested that employees strive to increase their retirement plan contribution percentage from 2018.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“Pairing the deferral increase with a salary raise is a painless way to boost retirement savings. For example, if you received a 4% raise in salary and increased your contribution rate by 2%, your net paycheck and savings will both be higher,” Westley said.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7. Make an IRA and HSA contribution for 2018 (if you haven’t already).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David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Oransky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pointed out that individuals have until April 15 to make eligible IRA and HSA contributions for 2018.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According to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Oransky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a member of the AICPA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PFP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Executive Committee, the combined traditional and Roth IRA contribution limit is the lesser of $5,500 or an individual’s taxable compensation.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If the individual is filing a joint return but doesn’t have any taxable compensation of his or her own, that individual may still be able to contribute under the spousal IRA provisions,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Oransky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noted.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Meanwhile, for an HSA, the contribution limit is $6,900 if the individual has a family high-deductible health plan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HDHP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) or $3,450 for self-only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HDHP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coverage, according to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Oransky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8. Contribute to your IRA now.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David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Desmarais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member of the AICPA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PFP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Executive Committee, has some tips on how individuals should contribute to their IRA.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“For married couples with modified adjusted gross income over $203,000, you cannot make direct Roth contributions. However, there are no income limitations on doing a Roth conversion or nondeductible IRA contribution,”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Desmarais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said.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Individuals can make a nondeductible IRA contribution and immediately roll it over into a Roth, according to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Desmarais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“The reason why you roll it over immediately is if there are no earnings in the IRA before it is rolled into a Roth, there is no income to pick up on the conversion,” he explained.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However, he noted that this doesn’t work if the individual has other traditional IRAs that have untaxed earnings — whether it be from unrealized gains or prior deductible IRA contributions.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9. Take a look at your current allocation.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“With increased market volatility during 2018, your various asset classes may have drifted out of balance,” said Michael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Landsberg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member of the AICPA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PFP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Executive Committee.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Landsberg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suggested individuals use the beginning of January to analyze any material shifts that may have occurred due to 2018 performance.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“Diversification is important for managing portfolio risk, so rebalancing may be necessary,” he added.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10. Make annual exclusion gifts to heirs now. </w:t>
      </w:r>
      <w:r>
        <w:rPr>
          <w:rFonts w:ascii="Arial" w:hAnsi="Arial" w:cs="Arial"/>
          <w:color w:val="333333"/>
          <w:sz w:val="27"/>
          <w:szCs w:val="27"/>
        </w:rPr>
        <w:t>Robert Westley, a member of the AICPA PFS Credential Committee, suggested that individuals consider making gifts to beneficiaries at the beginning of the year.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“For those looking to reduce their estate tax exposure, individuals can give up to $15,000 to an unlimited number of beneficiaries per year without utilizing their lifetime estate tax exclusion amount or paying a gift tax,” Westley said.</w:t>
      </w:r>
    </w:p>
    <w:p w:rsidR="003D79EF" w:rsidRDefault="003D79EF" w:rsidP="003D79EF">
      <w:pPr>
        <w:pStyle w:val="NormalWeb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According to Westley, completing these gifts at the beginning of the year allows an individual’s beneficiaries to receive a few additional months of potential appreciation.</w:t>
      </w:r>
    </w:p>
    <w:p w:rsidR="003D79EF" w:rsidRDefault="003D79EF">
      <w:pPr>
        <w:rPr>
          <w:rStyle w:val="top-info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top-info"/>
          <w:rFonts w:ascii="Arial" w:hAnsi="Arial" w:cs="Arial"/>
          <w:color w:val="333333"/>
          <w:sz w:val="23"/>
          <w:szCs w:val="23"/>
          <w:shd w:val="clear" w:color="auto" w:fill="FFFFFF"/>
        </w:rPr>
        <w:t>By </w:t>
      </w:r>
      <w:hyperlink r:id="rId5" w:history="1">
        <w:r>
          <w:rPr>
            <w:rStyle w:val="Strong"/>
            <w:rFonts w:ascii="Arial" w:hAnsi="Arial" w:cs="Arial"/>
            <w:color w:val="333333"/>
            <w:sz w:val="23"/>
            <w:szCs w:val="23"/>
          </w:rPr>
          <w:t xml:space="preserve">Emily </w:t>
        </w:r>
        <w:proofErr w:type="spellStart"/>
        <w:r>
          <w:rPr>
            <w:rStyle w:val="Strong"/>
            <w:rFonts w:ascii="Arial" w:hAnsi="Arial" w:cs="Arial"/>
            <w:color w:val="333333"/>
            <w:sz w:val="23"/>
            <w:szCs w:val="23"/>
          </w:rPr>
          <w:t>Zulz</w:t>
        </w:r>
        <w:proofErr w:type="spellEnd"/>
      </w:hyperlink>
      <w:r>
        <w:rPr>
          <w:rStyle w:val="top-info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pipe"/>
          <w:rFonts w:ascii="Arial" w:hAnsi="Arial" w:cs="Arial"/>
          <w:color w:val="DDDDDD"/>
          <w:sz w:val="23"/>
          <w:szCs w:val="23"/>
          <w:shd w:val="clear" w:color="auto" w:fill="FFFFFF"/>
        </w:rPr>
        <w:t>|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top-info"/>
          <w:rFonts w:ascii="Arial" w:hAnsi="Arial" w:cs="Arial"/>
          <w:color w:val="333333"/>
          <w:sz w:val="23"/>
          <w:szCs w:val="23"/>
          <w:shd w:val="clear" w:color="auto" w:fill="FFFFFF"/>
        </w:rPr>
        <w:t>January 11, 2019 at 10:53 AM</w:t>
      </w:r>
    </w:p>
    <w:p w:rsidR="003D79EF" w:rsidRDefault="003D79EF">
      <w:pPr>
        <w:rPr>
          <w:rStyle w:val="top-info"/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>
        <w:rPr>
          <w:rStyle w:val="top-info"/>
          <w:rFonts w:ascii="Arial" w:hAnsi="Arial" w:cs="Arial"/>
          <w:color w:val="333333"/>
          <w:sz w:val="23"/>
          <w:szCs w:val="23"/>
          <w:shd w:val="clear" w:color="auto" w:fill="FFFFFF"/>
        </w:rPr>
        <w:t>ThinkAdvisor</w:t>
      </w:r>
      <w:proofErr w:type="spellEnd"/>
      <w:r>
        <w:rPr>
          <w:rStyle w:val="top-info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hyperlink r:id="rId6" w:history="1">
        <w:r w:rsidRPr="00D04FD6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https://www.thinkadvisor.com/2019/01/11/10-financial-planning-tips-for-clients-to-start-2019-off-right-aicpa/?slreturn=20190021141238</w:t>
        </w:r>
      </w:hyperlink>
    </w:p>
    <w:p w:rsidR="003D79EF" w:rsidRDefault="003D79EF">
      <w:pPr>
        <w:rPr>
          <w:rStyle w:val="top-info"/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D79EF" w:rsidRPr="003D79EF" w:rsidRDefault="003D79EF">
      <w:pPr>
        <w:rPr>
          <w:rStyle w:val="top-info"/>
          <w:rFonts w:ascii="Arial" w:hAnsi="Arial" w:cs="Arial"/>
          <w:color w:val="333333"/>
          <w:sz w:val="56"/>
          <w:szCs w:val="56"/>
          <w:shd w:val="clear" w:color="auto" w:fill="FFFFFF"/>
        </w:rPr>
      </w:pPr>
      <w:r w:rsidRPr="003D79EF">
        <w:rPr>
          <w:rStyle w:val="top-info"/>
          <w:rFonts w:ascii="Arial" w:hAnsi="Arial" w:cs="Arial"/>
          <w:color w:val="333333"/>
          <w:sz w:val="56"/>
          <w:szCs w:val="56"/>
          <w:shd w:val="clear" w:color="auto" w:fill="FFFFFF"/>
        </w:rPr>
        <w:t xml:space="preserve">Contact King Wealth Planning today for a Financial Check-up! </w:t>
      </w:r>
    </w:p>
    <w:p w:rsidR="003D79EF" w:rsidRDefault="003D79EF">
      <w:pPr>
        <w:rPr>
          <w:rStyle w:val="top-info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top-info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(800) 59 ADVISE (408) 879 0789 </w:t>
      </w:r>
    </w:p>
    <w:p w:rsidR="003D79EF" w:rsidRDefault="003D79EF">
      <w:pPr>
        <w:rPr>
          <w:rStyle w:val="top-info"/>
          <w:rFonts w:ascii="Arial" w:hAnsi="Arial" w:cs="Arial"/>
          <w:color w:val="333333"/>
          <w:sz w:val="23"/>
          <w:szCs w:val="23"/>
          <w:shd w:val="clear" w:color="auto" w:fill="FFFFFF"/>
        </w:rPr>
      </w:pPr>
      <w:hyperlink r:id="rId7" w:history="1">
        <w:proofErr w:type="spellStart"/>
        <w:r w:rsidRPr="00D04FD6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inquiry@kingwealth.com</w:t>
        </w:r>
        <w:proofErr w:type="spellEnd"/>
      </w:hyperlink>
    </w:p>
    <w:p w:rsidR="003D79EF" w:rsidRDefault="003D79EF">
      <w:r>
        <w:rPr>
          <w:rStyle w:val="top-info"/>
          <w:rFonts w:ascii="Arial" w:hAnsi="Arial" w:cs="Arial"/>
          <w:color w:val="333333"/>
          <w:sz w:val="23"/>
          <w:szCs w:val="23"/>
          <w:shd w:val="clear" w:color="auto" w:fill="FFFFFF"/>
        </w:rPr>
        <w:t>Located in Campbell, CA</w:t>
      </w:r>
    </w:p>
    <w:sectPr w:rsidR="003D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EF"/>
    <w:rsid w:val="003D79EF"/>
    <w:rsid w:val="004169C3"/>
    <w:rsid w:val="006E08DC"/>
    <w:rsid w:val="009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D47D2-54AC-4B3D-9830-B8ED1ECC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9EF"/>
    <w:rPr>
      <w:b/>
      <w:bCs/>
    </w:rPr>
  </w:style>
  <w:style w:type="character" w:styleId="Emphasis">
    <w:name w:val="Emphasis"/>
    <w:basedOn w:val="DefaultParagraphFont"/>
    <w:uiPriority w:val="20"/>
    <w:qFormat/>
    <w:rsid w:val="003D79EF"/>
    <w:rPr>
      <w:i/>
      <w:iCs/>
    </w:rPr>
  </w:style>
  <w:style w:type="character" w:customStyle="1" w:styleId="top-info">
    <w:name w:val="top-info"/>
    <w:basedOn w:val="DefaultParagraphFont"/>
    <w:rsid w:val="003D79EF"/>
  </w:style>
  <w:style w:type="character" w:customStyle="1" w:styleId="pipe">
    <w:name w:val="pipe"/>
    <w:basedOn w:val="DefaultParagraphFont"/>
    <w:rsid w:val="003D79EF"/>
  </w:style>
  <w:style w:type="character" w:styleId="Hyperlink">
    <w:name w:val="Hyperlink"/>
    <w:basedOn w:val="DefaultParagraphFont"/>
    <w:uiPriority w:val="99"/>
    <w:unhideWhenUsed/>
    <w:rsid w:val="003D7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quiry@kingweal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inkadvisor.com/2019/01/11/10-financial-planning-tips-for-clients-to-start-2019-off-right-aicpa/?slreturn=20190021141238" TargetMode="External"/><Relationship Id="rId5" Type="http://schemas.openxmlformats.org/officeDocument/2006/relationships/hyperlink" Target="https://www.thinkadvisor.com/author/profile/Emily-Zulz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Corpuz</dc:creator>
  <cp:keywords/>
  <dc:description/>
  <cp:lastModifiedBy>Shannon Corpuz</cp:lastModifiedBy>
  <cp:revision>2</cp:revision>
  <dcterms:created xsi:type="dcterms:W3CDTF">2019-01-21T19:15:00Z</dcterms:created>
  <dcterms:modified xsi:type="dcterms:W3CDTF">2019-01-21T19:25:00Z</dcterms:modified>
</cp:coreProperties>
</file>